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/>
      <w:hyperlink r:id="rId3" w:history="1">
        <w:r>
          <w:rPr>
            <w:rStyle w:val="Hyperlink"/>
          </w:rPr>
          <w:t xml:space="preserve">← Voltar ao menu do Projeto Piraju</w:t>
        </w:r>
      </w:hyperlink>
    </w:p>
    <w:p>
      <w:pPr>
        <w:pStyle w:val="Heading1"/>
      </w:pPr>
      <w:r>
        <w:t xml:space="preserve">Resumo da Operação de Câmbio para Parceiros</w:t>
      </w:r>
    </w:p>
    <w:p>
      <w:pPr/>
      <w:r>
        <w:t xml:space="preserve">Oct 10, 2026</w:t>
      </w:r>
      <w:r>
        <w:t xml:space="preserve"> · </w:t>
      </w:r>
      <w:r>
        <w:t xml:space="preserve">@Thiago Cavalcante</w:t>
      </w:r>
    </w:p>
    <w:p>
      <w:pPr>
        <w:pStyle w:val="Heading2"/>
      </w:pPr>
      <w:r>
        <w:t xml:space="preserve">Antes de enviar</w:t>
      </w:r>
    </w:p>
    <w:p>
      <w:pPr/>
      <w:r>
        <w:t xml:space="preserve">Este resumo é a página prometida na mensagem ao corretor. Os trechos entre colchetes são campos que só a Piraju pode preencher; não foram inventados nem estimados. Preencha e apague esta seção antes de usar.</w:t>
      </w:r>
    </w:p>
    <w:p>
      <w:pPr>
        <w:pStyle w:val="ListParagraph"/>
        <w:numPr>
          <w:ilvl w:val="0"/>
          <w:numId w:val="2"/>
        </w:numPr>
      </w:pPr>
      <w:r>
        <w:t xml:space="preserve">☒ Instituição autorizada pelo Banco Central que liquida o câmbio e registra o RDE-IED, e se ela pode ser citada nominalmente.</w:t>
      </w:r>
    </w:p>
    <w:p>
      <w:pPr>
        <w:pStyle w:val="ListParagraph"/>
        <w:numPr>
          <w:ilvl w:val="0"/>
          <w:numId w:val="2"/>
        </w:numPr>
      </w:pPr>
      <w:r>
        <w:t xml:space="preserve">☒ Base e percentual da remuneração do parceiro (sobre o volume de cada operação, sobre a receita da Piraju na operação, ou outra), e por quanto tempo.</w:t>
      </w:r>
    </w:p>
    <w:p>
      <w:pPr>
        <w:pStyle w:val="ListParagraph"/>
        <w:numPr>
          <w:ilvl w:val="0"/>
          <w:numId w:val="2"/>
        </w:numPr>
      </w:pPr>
      <w:r>
        <w:t xml:space="preserve">☐ Prazo típico entre a indicação do cliente e a liquidação.</w:t>
      </w:r>
    </w:p>
    <w:p>
      <w:pPr>
        <w:pStyle w:val="ListParagraph"/>
        <w:numPr>
          <w:ilvl w:val="0"/>
          <w:numId w:val="2"/>
        </w:numPr>
      </w:pPr>
      <w:r>
        <w:t xml:space="preserve">☒ Contato de seleção já preenchido (Dalton Neman); confirmar se o e-mail no domínio BancoNeman.com.br é o que deve aparecer em material da Piraju.</w:t>
      </w:r>
    </w:p>
    <w:p>
      <w:pPr>
        <w:pStyle w:val="ListParagraph"/>
        <w:numPr>
          <w:ilvl w:val="0"/>
          <w:numId w:val="2"/>
        </w:numPr>
      </w:pPr>
      <w:r>
        <w:t xml:space="preserve">☒ Se o nome do projeto (Dólar Brasil) deve aparecer ou só a Piraju Tecnologia.</w:t>
      </w:r>
    </w:p>
    <w:p>
      <w:pPr>
        <w:pStyle w:val="Heading2"/>
      </w:pPr>
      <w:r>
        <w:t xml:space="preserve">A operação</w:t>
      </w:r>
    </w:p>
    <w:p>
      <w:pPr/>
      <w:r>
        <w:t xml:space="preserve">A Piraju Tecnologia, holding de tecnologia e inovação com sede em São Paulo, estrutura a entrada de capital estrangeiro em empresas brasileiras por investimento estrangeiro direto, com registro de capital estrangeiro (RDE-IED) no Banco Central. O câmbio é liquidado por [instituição autorizada]. O parceiro indica empresas com sócios, matriz ou investidores no exterior que precisam internar recursos de forma regular; a Piraju conduz a estruturação, a documentação e o acompanhamento até o registro. O parceiro mantém a relação com o cliente.</w:t>
      </w:r>
    </w:p>
    <w:p>
      <w:pPr>
        <w:pStyle w:val="Heading2"/>
      </w:pPr>
      <w:r>
        <w:t xml:space="preserve">Como funciona</w:t>
      </w:r>
    </w:p>
    <w:p>
      <w:pPr>
        <w:pStyle w:val="ListParagraph"/>
        <w:numPr>
          <w:ilvl w:val="0"/>
          <w:numId w:val="3"/>
        </w:numPr>
      </w:pPr>
      <w:r>
        <w:rPr>
          <w:b/>
        </w:rPr>
        <w:t xml:space="preserve">Indicação.</w:t>
      </w:r>
      <w:r>
        <w:t xml:space="preserve"> O parceiro apresenta o cliente e o contexto: origem dos recursos, empresa receptora, valor previsto.</w:t>
      </w:r>
    </w:p>
    <w:p>
      <w:pPr>
        <w:pStyle w:val="ListParagraph"/>
        <w:numPr>
          <w:ilvl w:val="0"/>
          <w:numId w:val="3"/>
        </w:numPr>
      </w:pPr>
      <w:r>
        <w:rPr>
          <w:b/>
        </w:rPr>
        <w:t xml:space="preserve">Enquadramento.</w:t>
      </w:r>
      <w:r>
        <w:t xml:space="preserve"> A Piraju verifica se a operação se enquadra como IED e informa ao parceiro, em até [prazo], se segue ou não, e por quê.</w:t>
      </w:r>
    </w:p>
    <w:p>
      <w:pPr>
        <w:pStyle w:val="ListParagraph"/>
        <w:numPr>
          <w:ilvl w:val="0"/>
          <w:numId w:val="3"/>
        </w:numPr>
      </w:pPr>
      <w:r>
        <w:rPr>
          <w:b/>
        </w:rPr>
        <w:t xml:space="preserve">Documentação.</w:t>
      </w:r>
      <w:r>
        <w:t xml:space="preserve"> A equipe da Piraju reúne com o cliente os documentos societários e cadastrais exigidos pela instituição liquidante.</w:t>
      </w:r>
    </w:p>
    <w:p>
      <w:pPr>
        <w:pStyle w:val="ListParagraph"/>
        <w:numPr>
          <w:ilvl w:val="0"/>
          <w:numId w:val="3"/>
        </w:numPr>
      </w:pPr>
      <w:r>
        <w:rPr>
          <w:b/>
        </w:rPr>
        <w:t xml:space="preserve">Câmbio e registro.</w:t>
      </w:r>
      <w:r>
        <w:t xml:space="preserve"> [Instituição autorizada] fecha o câmbio; o capital é registrado no RDE-IED do Banco Central em nome do investidor estrangeiro.</w:t>
      </w:r>
    </w:p>
    <w:p>
      <w:pPr>
        <w:pStyle w:val="ListParagraph"/>
        <w:numPr>
          <w:ilvl w:val="0"/>
          <w:numId w:val="3"/>
        </w:numPr>
      </w:pPr>
      <w:r>
        <w:rPr>
          <w:b/>
        </w:rPr>
        <w:t xml:space="preserve">Acompanhamento.</w:t>
      </w:r>
      <w:r>
        <w:t xml:space="preserve"> A Piraju entrega ao cliente e ao parceiro a comprovação do registro e permanece como ponto de contato para remessas seguintes e, no futuro, para a repatriação de dividendos.</w:t>
      </w:r>
    </w:p>
    <w:p>
      <w:pPr>
        <w:pStyle w:val="Heading2"/>
      </w:pPr>
      <w:r>
        <w:t xml:space="preserve">Quem faz o quê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4680"/>
        <w:gridCol w:w="4680"/>
      </w:tblGrid>
      <w:tr>
        <w:trPr>
          <w:tblHeader/>
        </w:trPr>
        <w:tc>
          <w:tcPr>
            <w:tcW w:w="4680" w:type="dxa"/>
            <w:shd w:val="clear" w:color="auto" w:fill="F2F2F2"/>
          </w:tcPr>
          <w:p>
            <w:pPr/>
            <w:r>
              <w:t xml:space="preserve">O parceiro</w:t>
            </w:r>
          </w:p>
        </w:tc>
        <w:tc>
          <w:tcPr>
            <w:tcW w:w="4680" w:type="dxa"/>
            <w:shd w:val="clear" w:color="auto" w:fill="F2F2F2"/>
          </w:tcPr>
          <w:p>
            <w:pPr/>
            <w:r>
              <w:t xml:space="preserve">A Piraju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Indica clientes com capital a internar e faz a apresentação inicial</w:t>
            </w:r>
          </w:p>
        </w:tc>
        <w:tc>
          <w:tcPr>
            <w:tcW w:w="4680" w:type="dxa"/>
          </w:tcPr>
          <w:p>
            <w:pPr/>
            <w:r>
              <w:t xml:space="preserve">Enquadra a operação e responde ao parceiro antes de qualquer contato com o cliente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Mantém a relação comercial com o cliente</w:t>
            </w:r>
          </w:p>
        </w:tc>
        <w:tc>
          <w:tcPr>
            <w:tcW w:w="4680" w:type="dxa"/>
          </w:tcPr>
          <w:p>
            <w:pPr/>
            <w:r>
              <w:t xml:space="preserve">Conduz documentação, câmbio com a instituição liquidante e registro no Banco Central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Não precisa de estrutura própria nem de autorização específica para indicar</w:t>
            </w:r>
          </w:p>
        </w:tc>
        <w:tc>
          <w:tcPr>
            <w:tcW w:w="4680" w:type="dxa"/>
          </w:tcPr>
          <w:p>
            <w:pPr/>
            <w:r>
              <w:t xml:space="preserve">Assume a interlocução regulatória e a responsabilidade pela execução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Recebe a comprovação de cada operação fechada</w:t>
            </w:r>
          </w:p>
        </w:tc>
        <w:tc>
          <w:tcPr>
            <w:tcW w:w="4680" w:type="dxa"/>
          </w:tcPr>
          <w:p>
            <w:pPr/>
            <w:r>
              <w:t xml:space="preserve">Presta contas da remuneração por operação, com extrato</w:t>
            </w:r>
          </w:p>
        </w:tc>
      </w:tr>
    </w:tbl>
    <w:p>
      <w:pPr>
        <w:pStyle w:val="Heading2"/>
      </w:pPr>
      <w:r>
        <w:t xml:space="preserve">Remuneração e contrato</w:t>
      </w:r>
    </w:p>
    <w:p>
      <w:pPr/>
      <w:r>
        <w:t xml:space="preserve">O parceiro recebe [percentual] sobre [base: volume de cada operação fechada pelo cliente indicado / receita da Piraju na operação], em cada operação, por [prazo: enquanto o cliente operar conosco / X meses a partir da primeira operação]. O pagamento ocorre em até [dias] após a liquidação, mediante nota fiscal do parceiro.</w:t>
      </w:r>
    </w:p>
    <w:p>
      <w:pPr/>
      <w:r>
        <w:t xml:space="preserve">A relação é formalizada em contrato de parceria comercial, sem exclusividade exigida do parceiro e sem meta mínima. O contrato define a base de cálculo, o prazo, a confidencialidade e a regra para clientes já em contato com a Piraju antes da indicação.</w:t>
      </w:r>
    </w:p>
    <w:p>
      <w:pPr>
        <w:pStyle w:val="Heading2"/>
      </w:pPr>
      <w:r>
        <w:t xml:space="preserve">Conformidade</w:t>
      </w:r>
    </w:p>
    <w:p>
      <w:pPr/>
      <w:r>
        <w:t xml:space="preserve">O câmbio é contratado e liquidado exclusivamente por [instituição autorizada a operar em câmbio pelo Banco Central]. A Piraju não recebe nem movimenta recursos do cliente; estrutura e acompanha. O registro no RDE-IED é feito em nome do investidor estrangeiro, com a documentação exigida pela instituição e pelo Banco Central.</w:t>
      </w:r>
    </w:p>
    <w:p>
      <w:pPr/>
      <w:r>
        <w:t xml:space="preserve">O que este resumo não promete: taxa de câmbio, prazo garantido de registro ou qualquer benefício fiscal. Cada operação depende da análise da instituição liquidante e do enquadramento do cliente.</w:t>
      </w:r>
    </w:p>
    <w:p>
      <w:pPr>
        <w:pStyle w:val="Heading2"/>
      </w:pPr>
      <w:r>
        <w:t xml:space="preserve">Próximo passo</w:t>
      </w:r>
    </w:p>
    <w:p>
      <w:pPr/>
      <w:r>
        <w:t xml:space="preserve">Se a operação fizer sentido para a sua carteira, marcamos 20 minutos para percorrer um caso real, sem identificar o cliente, e enviamos a minuta do contrato de parceria.</w:t>
      </w:r>
    </w:p>
    <w:p>
      <w:pPr/>
      <w:r>
        <w:rPr>
          <w:b/>
        </w:rPr>
        <w:t xml:space="preserve">Contato para seleção</w:t>
      </w:r>
    </w:p>
    <w:p>
      <w:pPr/>
      <w:r>
        <w:t xml:space="preserve">Dalton Neman · Diretor Executivo · Piraju Tecnologia</w:t>
      </w:r>
    </w:p>
    <w:p>
      <w:pPr/>
      <w:r>
        <w:t xml:space="preserve">Tel. (11) 2941-6040 · Cel. (11) 97444-4985 · DaltonNeman@BancoNeman.com.br</w:t>
      </w:r>
    </w:p>
    <w:sectPr>
      <w:pgSz w:w="12240" w:h="15840"/>
      <w:pgMar w:top="1440" w:right="1440" w:bottom="1440" w:left="1440" w:header="720" w:footer="72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o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o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0"/>
  </w:num>
  <w:num w:numId="2">
    <w:abstractNumId w:val="0"/>
  </w:num>
  <w:num w:numId="3">
    <w:abstractNumId w:val="1"/>
    <w:lvlOverride w:ilvl="0">
      <w:startOverride w:val="1"/>
    </w:lvlOverride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pPr>
      <w:keepNext/>
      <w:spacing w:before="280" w:after="100"/>
      <w:outlineLvl w:val="1"/>
    </w:pPr>
    <w:rPr>
      <w:b/>
      <w:sz w:val="26"/>
    </w:rPr>
  </w:style>
  <w:style w:type="paragraph" w:styleId="Heading3">
    <w:name w:val="heading 3"/>
    <w:basedOn w:val="Normal"/>
    <w:next w:val="Normal"/>
    <w:qFormat/>
    <w:pPr>
      <w:keepNext/>
      <w:spacing w:before="240" w:after="80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sz w:val="2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sz w:val="22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i/>
      <w:sz w:val="22"/>
    </w:rPr>
  </w:style>
  <w:style w:type="paragraph" w:styleId="Title">
    <w:name w:val="Title"/>
    <w:basedOn w:val="Normal"/>
    <w:next w:val="Normal"/>
    <w:qFormat/>
    <w:pPr>
      <w:spacing w:after="80"/>
      <w:contextualSpacing/>
    </w:pPr>
    <w:rPr>
      <w:sz w:val="56"/>
    </w:rPr>
  </w:style>
  <w:style w:type="paragraph" w:styleId="Quote">
    <w:name w:val="Quote"/>
    <w:basedOn w:val="Normal"/>
    <w:qFormat/>
    <w:pPr>
      <w:ind w:left="720" w:right="720"/>
      <w:pBdr>
        <w:left w:val="single" w:sz="12" w:space="8" w:color="A0A0A0"/>
      </w:pBdr>
    </w:pPr>
    <w:rPr>
      <w:i/>
      <w:color w:val="404040"/>
    </w:rPr>
  </w:style>
  <w:style w:type="paragraph" w:styleId="Code">
    <w:name w:val="Code"/>
    <w:basedOn w:val="Normal"/>
    <w:link w:val="CodeChar"/>
    <w:pPr>
      <w:spacing w:after="0" w:line="240" w:lineRule="auto"/>
      <w:contextualSpacing/>
      <w:shd w:val="clear" w:color="auto" w:fill="F5F5F5"/>
    </w:pPr>
    <w:rPr>
      <w:rFonts w:ascii="Consolas" w:hAnsi="Consolas" w:eastAsia="Consolas" w:cs="Consolas"/>
      <w:sz w:val="20"/>
    </w:rPr>
  </w:style>
  <w:style w:type="character" w:styleId="CodeChar">
    <w:name w:val="Code Char"/>
    <w:link w:val="Code"/>
    <w:rPr>
      <w:rFonts w:ascii="Consolas" w:hAnsi="Consolas" w:eastAsia="Consolas" w:cs="Consolas"/>
      <w:sz w:val="20"/>
      <w:shd w:val="clear" w:color="auto" w:fill="F5F5F5"/>
    </w:rPr>
  </w:style>
  <w:style w:type="paragraph" w:styleId="ListParagraph">
    <w:name w:val="List Paragraph"/>
    <w:basedOn w:val="Normal"/>
    <w:qFormat/>
    <w:pPr>
      <w:ind w:left="720"/>
      <w:contextualSpacing/>
    </w:pPr>
  </w:style>
  <w:style w:type="character" w:styleId="Hyperlink">
    <w:name w:val="Hyperlink"/>
    <w:rPr>
      <w:color w:val="0563C1"/>
      <w:u w:val="single"/>
    </w:rPr>
  </w:style>
  <w:style w:type="paragraph" w:styleId="CommentText">
    <w:name w:val="annotation text"/>
    <w:basedOn w:val="Normal"/>
    <w:link w:val="CommentTextChar"/>
    <w:pPr>
      <w:spacing w:line="240" w:lineRule="auto"/>
    </w:pPr>
    <w:rPr>
      <w:sz w:val="20"/>
      <w:szCs w:val="20"/>
    </w:rPr>
  </w:style>
  <w:style w:type="character" w:styleId="CommentReference">
    <w:name w:val="annotation reference"/>
    <w:rPr>
      <w:sz w:val="16"/>
      <w:szCs w:val="16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hyperlink" Target="index.html" TargetMode="External"/></Relationships>
</file>

<file path=docProps/app.xml><?xml version="1.0" encoding="utf-8"?>
<Properties xmlns="http://schemas.openxmlformats.org/officeDocument/2006/extended-properties">
  <Application>Claude Docs</Application>
  <AppVersion>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Resumo da Operação de Câmbio para Parceiros</dc:title>
  <dc:description>Claude Docs node/c8b68bfd-e0e3@12 docx-w6</dc:description>
  <cp:revision>12</cp:revision>
</cp:coreProperties>
</file>